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FD86B" w14:textId="173212FF" w:rsidR="00B31772" w:rsidRPr="00FE0653" w:rsidRDefault="00785E3F" w:rsidP="00C95B9A">
      <w:pPr>
        <w:pStyle w:val="Title"/>
        <w:spacing w:before="120" w:after="60"/>
        <w:ind w:left="0" w:right="0"/>
      </w:pPr>
      <w:r w:rsidRPr="00785E3F">
        <w:t>Title of the Article</w:t>
      </w:r>
    </w:p>
    <w:p w14:paraId="0D6E4DD3" w14:textId="7F75172E" w:rsidR="00B31772" w:rsidRPr="00FE0653" w:rsidRDefault="00785E3F" w:rsidP="006F3008">
      <w:pPr>
        <w:spacing w:before="240" w:after="120"/>
        <w:jc w:val="center"/>
        <w:rPr>
          <w:b/>
          <w:sz w:val="14"/>
        </w:rPr>
      </w:pPr>
      <w:r w:rsidRPr="00785E3F">
        <w:rPr>
          <w:b/>
          <w:sz w:val="24"/>
        </w:rPr>
        <w:t>First Author Name</w:t>
      </w:r>
      <w:r w:rsidR="006F3008" w:rsidRPr="00FE0653">
        <w:rPr>
          <w:b/>
          <w:position w:val="7"/>
          <w:sz w:val="14"/>
        </w:rPr>
        <w:t>1</w:t>
      </w:r>
      <w:r w:rsidR="00E84F20" w:rsidRPr="00FE0653">
        <w:rPr>
          <w:b/>
          <w:position w:val="7"/>
          <w:sz w:val="14"/>
        </w:rPr>
        <w:t>*</w:t>
      </w:r>
      <w:r w:rsidR="00300E68" w:rsidRPr="00FE0653">
        <w:rPr>
          <w:b/>
          <w:sz w:val="24"/>
        </w:rPr>
        <w:t xml:space="preserve">, </w:t>
      </w:r>
      <w:r>
        <w:rPr>
          <w:b/>
          <w:sz w:val="24"/>
        </w:rPr>
        <w:t>Second</w:t>
      </w:r>
      <w:r w:rsidRPr="00785E3F">
        <w:rPr>
          <w:b/>
          <w:sz w:val="24"/>
        </w:rPr>
        <w:t xml:space="preserve"> Author Name</w:t>
      </w:r>
      <w:r w:rsidR="00300E68" w:rsidRPr="00FE0653">
        <w:rPr>
          <w:position w:val="7"/>
          <w:sz w:val="14"/>
        </w:rPr>
        <w:t>2</w:t>
      </w:r>
      <w:r w:rsidR="00300E68" w:rsidRPr="00FE0653">
        <w:rPr>
          <w:b/>
          <w:sz w:val="24"/>
        </w:rPr>
        <w:t xml:space="preserve">, </w:t>
      </w:r>
      <w:r>
        <w:rPr>
          <w:b/>
          <w:sz w:val="24"/>
        </w:rPr>
        <w:t>Third</w:t>
      </w:r>
      <w:r w:rsidRPr="00785E3F">
        <w:rPr>
          <w:b/>
          <w:sz w:val="24"/>
        </w:rPr>
        <w:t xml:space="preserve"> Author Name</w:t>
      </w:r>
      <w:proofErr w:type="gramStart"/>
      <w:r w:rsidR="006F3008" w:rsidRPr="00FE0653">
        <w:rPr>
          <w:position w:val="7"/>
          <w:sz w:val="14"/>
        </w:rPr>
        <w:t>3</w:t>
      </w:r>
      <w:r w:rsidR="00300E68" w:rsidRPr="00FE0653">
        <w:rPr>
          <w:b/>
          <w:sz w:val="24"/>
        </w:rPr>
        <w:t>,</w:t>
      </w:r>
      <w:r>
        <w:rPr>
          <w:b/>
          <w:sz w:val="24"/>
        </w:rPr>
        <w:t xml:space="preserve">   </w:t>
      </w:r>
      <w:proofErr w:type="gramEnd"/>
      <w:r>
        <w:rPr>
          <w:b/>
          <w:sz w:val="24"/>
        </w:rPr>
        <w:t xml:space="preserve">                               Fourth</w:t>
      </w:r>
      <w:r w:rsidR="00300E68" w:rsidRPr="00FE0653">
        <w:rPr>
          <w:b/>
          <w:sz w:val="24"/>
        </w:rPr>
        <w:t xml:space="preserve"> </w:t>
      </w:r>
      <w:r w:rsidRPr="00785E3F">
        <w:rPr>
          <w:b/>
          <w:sz w:val="24"/>
        </w:rPr>
        <w:t>Author Name</w:t>
      </w:r>
      <w:r w:rsidR="006F3008" w:rsidRPr="00FE0653">
        <w:rPr>
          <w:position w:val="7"/>
          <w:sz w:val="14"/>
        </w:rPr>
        <w:t>4</w:t>
      </w:r>
    </w:p>
    <w:p w14:paraId="7EECFE93" w14:textId="15EDDD72" w:rsidR="00B31772" w:rsidRPr="00FE0653" w:rsidRDefault="00300E68" w:rsidP="00785E3F">
      <w:pPr>
        <w:spacing w:line="278" w:lineRule="auto"/>
        <w:ind w:left="231"/>
        <w:jc w:val="both"/>
        <w:rPr>
          <w:i/>
          <w:iCs/>
          <w:sz w:val="20"/>
          <w:szCs w:val="20"/>
        </w:rPr>
      </w:pPr>
      <w:r w:rsidRPr="00FE130E">
        <w:rPr>
          <w:i/>
          <w:iCs/>
          <w:position w:val="5"/>
          <w:sz w:val="20"/>
          <w:szCs w:val="20"/>
          <w:vertAlign w:val="superscript"/>
        </w:rPr>
        <w:t>1</w:t>
      </w:r>
      <w:r w:rsidR="00E84F20" w:rsidRPr="00FE130E">
        <w:rPr>
          <w:i/>
          <w:iCs/>
          <w:position w:val="5"/>
          <w:sz w:val="20"/>
          <w:szCs w:val="20"/>
          <w:vertAlign w:val="superscript"/>
        </w:rPr>
        <w:t>*</w:t>
      </w:r>
      <w:r w:rsidR="00785E3F" w:rsidRPr="00785E3F">
        <w:rPr>
          <w:i/>
          <w:iCs/>
          <w:sz w:val="20"/>
          <w:szCs w:val="20"/>
        </w:rPr>
        <w:t xml:space="preserve">First Author Designation, Department, University, Country. E-mail Id, </w:t>
      </w:r>
      <w:proofErr w:type="spellStart"/>
      <w:r w:rsidR="00785E3F" w:rsidRPr="00785E3F">
        <w:rPr>
          <w:i/>
          <w:iCs/>
          <w:sz w:val="20"/>
          <w:szCs w:val="20"/>
        </w:rPr>
        <w:t>Orcid</w:t>
      </w:r>
      <w:proofErr w:type="spellEnd"/>
      <w:r w:rsidR="00785E3F" w:rsidRPr="00785E3F">
        <w:rPr>
          <w:i/>
          <w:iCs/>
          <w:sz w:val="20"/>
          <w:szCs w:val="20"/>
        </w:rPr>
        <w:t>.</w:t>
      </w:r>
    </w:p>
    <w:p w14:paraId="64EF4E47" w14:textId="43C76F44" w:rsidR="00B31772" w:rsidRPr="00FE0653" w:rsidRDefault="00300E68" w:rsidP="006F3008">
      <w:pPr>
        <w:spacing w:line="276" w:lineRule="auto"/>
        <w:ind w:left="231"/>
        <w:jc w:val="both"/>
        <w:rPr>
          <w:i/>
          <w:iCs/>
          <w:sz w:val="20"/>
          <w:szCs w:val="20"/>
        </w:rPr>
      </w:pPr>
      <w:r w:rsidRPr="00FE130E">
        <w:rPr>
          <w:i/>
          <w:iCs/>
          <w:position w:val="5"/>
          <w:sz w:val="20"/>
          <w:szCs w:val="20"/>
          <w:vertAlign w:val="superscript"/>
        </w:rPr>
        <w:t>2</w:t>
      </w:r>
      <w:r w:rsidR="00785E3F">
        <w:rPr>
          <w:i/>
          <w:iCs/>
          <w:sz w:val="20"/>
          <w:szCs w:val="20"/>
        </w:rPr>
        <w:t>Second</w:t>
      </w:r>
      <w:r w:rsidR="00785E3F" w:rsidRPr="00785E3F">
        <w:rPr>
          <w:i/>
          <w:iCs/>
          <w:sz w:val="20"/>
          <w:szCs w:val="20"/>
        </w:rPr>
        <w:t xml:space="preserve"> Author Designation, Department, University, Country. E-mail Id, </w:t>
      </w:r>
      <w:proofErr w:type="spellStart"/>
      <w:r w:rsidR="00785E3F" w:rsidRPr="00785E3F">
        <w:rPr>
          <w:i/>
          <w:iCs/>
          <w:sz w:val="20"/>
          <w:szCs w:val="20"/>
        </w:rPr>
        <w:t>Orcid</w:t>
      </w:r>
      <w:proofErr w:type="spellEnd"/>
      <w:r w:rsidR="00785E3F" w:rsidRPr="00785E3F">
        <w:rPr>
          <w:i/>
          <w:iCs/>
          <w:sz w:val="20"/>
          <w:szCs w:val="20"/>
        </w:rPr>
        <w:t>.</w:t>
      </w:r>
    </w:p>
    <w:p w14:paraId="4B9AE3D1" w14:textId="1926756D" w:rsidR="00B31772" w:rsidRPr="00FE0653" w:rsidRDefault="00300E68" w:rsidP="006F3008">
      <w:pPr>
        <w:spacing w:line="276" w:lineRule="auto"/>
        <w:ind w:left="231"/>
        <w:jc w:val="both"/>
        <w:rPr>
          <w:i/>
          <w:iCs/>
          <w:sz w:val="20"/>
          <w:szCs w:val="20"/>
        </w:rPr>
      </w:pPr>
      <w:r w:rsidRPr="00FE130E">
        <w:rPr>
          <w:i/>
          <w:iCs/>
          <w:position w:val="5"/>
          <w:sz w:val="20"/>
          <w:szCs w:val="20"/>
          <w:vertAlign w:val="superscript"/>
        </w:rPr>
        <w:t>3</w:t>
      </w:r>
      <w:r w:rsidR="00785E3F">
        <w:rPr>
          <w:i/>
          <w:iCs/>
          <w:sz w:val="20"/>
          <w:szCs w:val="20"/>
        </w:rPr>
        <w:t>Third</w:t>
      </w:r>
      <w:r w:rsidR="00785E3F" w:rsidRPr="00785E3F">
        <w:rPr>
          <w:i/>
          <w:iCs/>
          <w:sz w:val="20"/>
          <w:szCs w:val="20"/>
        </w:rPr>
        <w:t xml:space="preserve"> Author Designation, Department, University, Country. E-mail Id, </w:t>
      </w:r>
      <w:proofErr w:type="spellStart"/>
      <w:r w:rsidR="00785E3F" w:rsidRPr="00785E3F">
        <w:rPr>
          <w:i/>
          <w:iCs/>
          <w:sz w:val="20"/>
          <w:szCs w:val="20"/>
        </w:rPr>
        <w:t>Orcid</w:t>
      </w:r>
      <w:proofErr w:type="spellEnd"/>
      <w:r w:rsidR="00785E3F" w:rsidRPr="00785E3F">
        <w:rPr>
          <w:i/>
          <w:iCs/>
          <w:sz w:val="20"/>
          <w:szCs w:val="20"/>
        </w:rPr>
        <w:t>.</w:t>
      </w:r>
    </w:p>
    <w:p w14:paraId="39335630" w14:textId="0F6FA71E" w:rsidR="00B31772" w:rsidRPr="00FE0653" w:rsidRDefault="00300E68" w:rsidP="00785E3F">
      <w:pPr>
        <w:spacing w:line="276" w:lineRule="auto"/>
        <w:ind w:left="231" w:right="230"/>
        <w:jc w:val="both"/>
        <w:rPr>
          <w:i/>
          <w:iCs/>
          <w:sz w:val="20"/>
          <w:szCs w:val="20"/>
        </w:rPr>
      </w:pPr>
      <w:r w:rsidRPr="00FE130E">
        <w:rPr>
          <w:i/>
          <w:iCs/>
          <w:position w:val="5"/>
          <w:sz w:val="20"/>
          <w:szCs w:val="20"/>
          <w:vertAlign w:val="superscript"/>
        </w:rPr>
        <w:t>4</w:t>
      </w:r>
      <w:r w:rsidR="00785E3F">
        <w:rPr>
          <w:i/>
          <w:iCs/>
          <w:sz w:val="20"/>
          <w:szCs w:val="20"/>
        </w:rPr>
        <w:t>Fourth</w:t>
      </w:r>
      <w:r w:rsidR="00785E3F" w:rsidRPr="00785E3F">
        <w:rPr>
          <w:i/>
          <w:iCs/>
          <w:sz w:val="20"/>
          <w:szCs w:val="20"/>
        </w:rPr>
        <w:t xml:space="preserve"> Author Designation, Department, University, Country. E-mail Id, </w:t>
      </w:r>
      <w:proofErr w:type="spellStart"/>
      <w:r w:rsidR="00785E3F" w:rsidRPr="00785E3F">
        <w:rPr>
          <w:i/>
          <w:iCs/>
          <w:sz w:val="20"/>
          <w:szCs w:val="20"/>
        </w:rPr>
        <w:t>Orcid</w:t>
      </w:r>
      <w:proofErr w:type="spellEnd"/>
      <w:r w:rsidR="00785E3F" w:rsidRPr="00785E3F">
        <w:rPr>
          <w:i/>
          <w:iCs/>
          <w:sz w:val="20"/>
          <w:szCs w:val="20"/>
        </w:rPr>
        <w:t>.</w:t>
      </w:r>
      <w:r w:rsidRPr="00FE0653">
        <w:rPr>
          <w:i/>
          <w:iCs/>
          <w:sz w:val="20"/>
          <w:szCs w:val="20"/>
        </w:rPr>
        <w:t xml:space="preserve"> </w:t>
      </w:r>
    </w:p>
    <w:p w14:paraId="11407E93" w14:textId="77777777" w:rsidR="00E84F20" w:rsidRPr="00FE0653" w:rsidRDefault="00E84F20" w:rsidP="00FE0653">
      <w:pPr>
        <w:jc w:val="both"/>
        <w:rPr>
          <w:i/>
          <w:iCs/>
          <w:sz w:val="20"/>
          <w:szCs w:val="20"/>
        </w:rPr>
      </w:pPr>
    </w:p>
    <w:p w14:paraId="283DC4E1" w14:textId="77777777" w:rsidR="00B31772" w:rsidRPr="00FE0653" w:rsidRDefault="00300E68" w:rsidP="00E84F20">
      <w:pPr>
        <w:pStyle w:val="Heading1"/>
        <w:spacing w:before="120" w:after="60"/>
        <w:ind w:left="0" w:right="0"/>
      </w:pPr>
      <w:r w:rsidRPr="00FE0653">
        <w:rPr>
          <w:spacing w:val="-2"/>
        </w:rPr>
        <w:t>Abstract</w:t>
      </w:r>
    </w:p>
    <w:p w14:paraId="64B6C6ED" w14:textId="7ACA5987" w:rsidR="00B31772" w:rsidRPr="00FE0653" w:rsidRDefault="00785E3F" w:rsidP="00E84F20">
      <w:pPr>
        <w:pStyle w:val="BodyText"/>
        <w:spacing w:after="100"/>
        <w:ind w:left="0"/>
        <w:rPr>
          <w:sz w:val="22"/>
          <w:szCs w:val="22"/>
        </w:rPr>
      </w:pPr>
      <w:r w:rsidRPr="00785E3F">
        <w:rPr>
          <w:sz w:val="22"/>
          <w:szCs w:val="22"/>
        </w:rPr>
        <w:t>Welcome to Global Perspectives in Management, a leading academic journal dedicated to advancing the field of management through rigorous research and innovative scholarship. Our journal provides a platform for researchers, practitioners, and policymakers to share insights and develop strategies that address the complex challenges facing businesses and organizations globally. At Global Perspectives in Management, we are committed to promoting high-quality research that explores diverse perspectives and fosters critical thinking in the realm of management. We publish original research articles, reviews, case studies, and theoretical papers that contribute to the understanding and development of management practices</w:t>
      </w:r>
      <w:r w:rsidR="00300E68" w:rsidRPr="00FE0653">
        <w:rPr>
          <w:sz w:val="22"/>
          <w:szCs w:val="22"/>
        </w:rPr>
        <w:t>.</w:t>
      </w:r>
    </w:p>
    <w:p w14:paraId="3F8E167B" w14:textId="7A444E15" w:rsidR="00B31772" w:rsidRDefault="00300E68" w:rsidP="00E84F20">
      <w:pPr>
        <w:pStyle w:val="BodyText"/>
        <w:spacing w:after="100"/>
        <w:ind w:left="0"/>
        <w:rPr>
          <w:spacing w:val="-2"/>
          <w:sz w:val="22"/>
          <w:szCs w:val="22"/>
        </w:rPr>
      </w:pPr>
      <w:r w:rsidRPr="00FE0653">
        <w:rPr>
          <w:b/>
          <w:sz w:val="22"/>
          <w:szCs w:val="22"/>
        </w:rPr>
        <w:t>Keywords:</w:t>
      </w:r>
      <w:r w:rsidRPr="00FE0653">
        <w:rPr>
          <w:b/>
          <w:spacing w:val="-9"/>
          <w:sz w:val="22"/>
          <w:szCs w:val="22"/>
        </w:rPr>
        <w:t xml:space="preserve"> </w:t>
      </w:r>
      <w:r w:rsidR="00785E3F">
        <w:rPr>
          <w:sz w:val="22"/>
          <w:szCs w:val="22"/>
        </w:rPr>
        <w:t>First Keyword</w:t>
      </w:r>
      <w:r w:rsidRPr="00FE0653">
        <w:rPr>
          <w:sz w:val="22"/>
          <w:szCs w:val="22"/>
        </w:rPr>
        <w:t>;</w:t>
      </w:r>
      <w:r w:rsidRPr="00FE0653">
        <w:rPr>
          <w:spacing w:val="-9"/>
          <w:sz w:val="22"/>
          <w:szCs w:val="22"/>
        </w:rPr>
        <w:t xml:space="preserve"> </w:t>
      </w:r>
      <w:r w:rsidR="00785E3F">
        <w:rPr>
          <w:sz w:val="22"/>
          <w:szCs w:val="22"/>
        </w:rPr>
        <w:t>Second Keyword</w:t>
      </w:r>
      <w:r w:rsidRPr="00FE0653">
        <w:rPr>
          <w:sz w:val="22"/>
          <w:szCs w:val="22"/>
        </w:rPr>
        <w:t>;</w:t>
      </w:r>
      <w:r w:rsidRPr="00FE0653">
        <w:rPr>
          <w:spacing w:val="-7"/>
          <w:sz w:val="22"/>
          <w:szCs w:val="22"/>
        </w:rPr>
        <w:t xml:space="preserve"> </w:t>
      </w:r>
      <w:r w:rsidR="00785E3F">
        <w:rPr>
          <w:sz w:val="22"/>
          <w:szCs w:val="22"/>
        </w:rPr>
        <w:t>Third Keyword</w:t>
      </w:r>
      <w:r w:rsidRPr="00FE0653">
        <w:rPr>
          <w:sz w:val="22"/>
          <w:szCs w:val="22"/>
        </w:rPr>
        <w:t>;</w:t>
      </w:r>
      <w:r w:rsidRPr="00FE0653">
        <w:rPr>
          <w:spacing w:val="-10"/>
          <w:sz w:val="22"/>
          <w:szCs w:val="22"/>
        </w:rPr>
        <w:t xml:space="preserve"> </w:t>
      </w:r>
      <w:r w:rsidR="00785E3F">
        <w:rPr>
          <w:sz w:val="22"/>
          <w:szCs w:val="22"/>
        </w:rPr>
        <w:t>Fourth Keyword</w:t>
      </w:r>
      <w:r w:rsidRPr="00FE0653">
        <w:rPr>
          <w:spacing w:val="-2"/>
          <w:sz w:val="22"/>
          <w:szCs w:val="22"/>
        </w:rPr>
        <w:t>.</w:t>
      </w:r>
    </w:p>
    <w:p w14:paraId="5E85133D" w14:textId="05717309" w:rsidR="00B31772" w:rsidRPr="00FE0653" w:rsidRDefault="00C430DE" w:rsidP="002935EF">
      <w:pPr>
        <w:pStyle w:val="Heading2"/>
        <w:numPr>
          <w:ilvl w:val="0"/>
          <w:numId w:val="3"/>
        </w:numPr>
        <w:spacing w:before="240" w:after="120" w:line="240" w:lineRule="auto"/>
        <w:ind w:left="360"/>
        <w:rPr>
          <w:sz w:val="24"/>
          <w:szCs w:val="24"/>
        </w:rPr>
      </w:pPr>
      <w:r>
        <w:rPr>
          <w:spacing w:val="-2"/>
          <w:sz w:val="24"/>
          <w:szCs w:val="24"/>
        </w:rPr>
        <w:t xml:space="preserve">MAIN </w:t>
      </w:r>
      <w:r w:rsidR="00635060">
        <w:rPr>
          <w:spacing w:val="-2"/>
          <w:sz w:val="24"/>
          <w:szCs w:val="24"/>
        </w:rPr>
        <w:t>HEADING</w:t>
      </w:r>
    </w:p>
    <w:p w14:paraId="323FEBAB" w14:textId="6E2644FB" w:rsidR="00B31772" w:rsidRPr="00FE0653" w:rsidRDefault="00542E57" w:rsidP="00355A73">
      <w:pPr>
        <w:pStyle w:val="BodyText"/>
        <w:spacing w:after="100"/>
        <w:ind w:left="0" w:firstLine="288"/>
        <w:rPr>
          <w:sz w:val="22"/>
          <w:szCs w:val="22"/>
        </w:rPr>
      </w:pPr>
      <w:r w:rsidRPr="00542E57">
        <w:rPr>
          <w:sz w:val="22"/>
          <w:szCs w:val="22"/>
        </w:rPr>
        <w:t>Global Perspectives in Management is a leading peer-reviewed journal dedicated to advancing the field of management through the dissemination of high-quality research from around the globe</w:t>
      </w:r>
      <w:r w:rsidR="00614AAF" w:rsidRPr="00614AAF">
        <w:rPr>
          <w:sz w:val="22"/>
          <w:szCs w:val="22"/>
        </w:rPr>
        <w:t xml:space="preserve"> </w:t>
      </w:r>
      <w:r w:rsidR="00614AAF">
        <w:rPr>
          <w:sz w:val="22"/>
          <w:szCs w:val="22"/>
        </w:rPr>
        <w:t>(</w:t>
      </w:r>
      <w:r w:rsidR="00614AAF" w:rsidRPr="00505869">
        <w:rPr>
          <w:sz w:val="22"/>
          <w:szCs w:val="22"/>
        </w:rPr>
        <w:t>Urrea, 2024)</w:t>
      </w:r>
      <w:r w:rsidRPr="00542E57">
        <w:rPr>
          <w:sz w:val="22"/>
          <w:szCs w:val="22"/>
        </w:rPr>
        <w:t>. As the world becomes increasingly interconnected, the need for comprehensive and comparative studies on management across diverse cultural, economic, and organizational landscapes has never been more crucial</w:t>
      </w:r>
      <w:r w:rsidR="00614AAF">
        <w:rPr>
          <w:sz w:val="22"/>
          <w:szCs w:val="22"/>
        </w:rPr>
        <w:t xml:space="preserve"> (</w:t>
      </w:r>
      <w:r w:rsidR="00614AAF" w:rsidRPr="00505869">
        <w:rPr>
          <w:sz w:val="22"/>
          <w:szCs w:val="22"/>
        </w:rPr>
        <w:t xml:space="preserve">Mantas </w:t>
      </w:r>
      <w:r w:rsidR="00614AAF">
        <w:rPr>
          <w:sz w:val="22"/>
          <w:szCs w:val="22"/>
        </w:rPr>
        <w:t xml:space="preserve">et al., </w:t>
      </w:r>
      <w:r w:rsidR="00614AAF" w:rsidRPr="00505869">
        <w:rPr>
          <w:sz w:val="22"/>
          <w:szCs w:val="22"/>
        </w:rPr>
        <w:t xml:space="preserve">2021). </w:t>
      </w:r>
      <w:r w:rsidRPr="00542E57">
        <w:rPr>
          <w:sz w:val="22"/>
          <w:szCs w:val="22"/>
        </w:rPr>
        <w:t>Our journal serves as a vital platform for the exchange of innovative ideas and research findings, aiming to bridge the gap between different management traditions and emerging trends worldwide</w:t>
      </w:r>
      <w:r w:rsidR="00614AAF">
        <w:rPr>
          <w:sz w:val="22"/>
          <w:szCs w:val="22"/>
        </w:rPr>
        <w:t xml:space="preserve"> (</w:t>
      </w:r>
      <w:r w:rsidR="00614AAF" w:rsidRPr="00C430DE">
        <w:rPr>
          <w:sz w:val="22"/>
          <w:szCs w:val="22"/>
        </w:rPr>
        <w:t>Adams</w:t>
      </w:r>
      <w:r w:rsidR="00614AAF">
        <w:rPr>
          <w:sz w:val="22"/>
          <w:szCs w:val="22"/>
        </w:rPr>
        <w:t xml:space="preserve"> </w:t>
      </w:r>
      <w:r w:rsidR="00614AAF">
        <w:rPr>
          <w:sz w:val="22"/>
          <w:szCs w:val="22"/>
        </w:rPr>
        <w:t xml:space="preserve">&amp; </w:t>
      </w:r>
      <w:r w:rsidR="00614AAF" w:rsidRPr="00C430DE">
        <w:rPr>
          <w:sz w:val="22"/>
          <w:szCs w:val="22"/>
        </w:rPr>
        <w:t>Hayes, 1976)</w:t>
      </w:r>
      <w:r w:rsidRPr="00542E57">
        <w:rPr>
          <w:sz w:val="22"/>
          <w:szCs w:val="22"/>
        </w:rPr>
        <w:t xml:space="preserve">. </w:t>
      </w:r>
      <w:r>
        <w:rPr>
          <w:sz w:val="22"/>
          <w:szCs w:val="22"/>
        </w:rPr>
        <w:t>Title of the Figure Shown in Figure 1.</w:t>
      </w:r>
    </w:p>
    <w:p w14:paraId="06BDAD6F" w14:textId="7975B923" w:rsidR="00B31772" w:rsidRPr="00FE0653" w:rsidRDefault="00C430DE" w:rsidP="00355A73">
      <w:pPr>
        <w:pStyle w:val="Heading3"/>
        <w:numPr>
          <w:ilvl w:val="0"/>
          <w:numId w:val="4"/>
        </w:numPr>
        <w:spacing w:before="120" w:after="60" w:line="240" w:lineRule="auto"/>
        <w:ind w:left="360"/>
        <w:rPr>
          <w:rFonts w:ascii="Palatino Linotype" w:hAnsi="Palatino Linotype"/>
          <w:sz w:val="22"/>
          <w:szCs w:val="22"/>
        </w:rPr>
      </w:pPr>
      <w:r>
        <w:rPr>
          <w:rFonts w:ascii="Palatino Linotype" w:hAnsi="Palatino Linotype"/>
          <w:sz w:val="22"/>
          <w:szCs w:val="22"/>
        </w:rPr>
        <w:t>Sub Heading</w:t>
      </w:r>
    </w:p>
    <w:p w14:paraId="35B33BFD" w14:textId="12E22AF0" w:rsidR="00B31772" w:rsidRPr="00FE0653" w:rsidRDefault="00542E57" w:rsidP="00FE0653">
      <w:pPr>
        <w:pStyle w:val="BodyText"/>
        <w:spacing w:after="100"/>
        <w:ind w:left="0" w:firstLine="288"/>
        <w:rPr>
          <w:sz w:val="22"/>
          <w:szCs w:val="22"/>
        </w:rPr>
      </w:pPr>
      <w:r w:rsidRPr="00542E57">
        <w:rPr>
          <w:sz w:val="22"/>
          <w:szCs w:val="22"/>
        </w:rPr>
        <w:t>We prioritize research that offers fresh perspectives and innovative approaches to solving contemporary management challenges. Our emphasis on global perspectives ensures that our content is relevant to a wide audience, from academics to industry professionals</w:t>
      </w:r>
      <w:r w:rsidR="00300E68" w:rsidRPr="00FE0653">
        <w:rPr>
          <w:sz w:val="22"/>
          <w:szCs w:val="22"/>
        </w:rPr>
        <w:t>.</w:t>
      </w:r>
      <w:r w:rsidRPr="00542E57">
        <w:rPr>
          <w:sz w:val="22"/>
          <w:szCs w:val="22"/>
        </w:rPr>
        <w:t xml:space="preserve"> </w:t>
      </w:r>
      <w:r>
        <w:rPr>
          <w:sz w:val="22"/>
          <w:szCs w:val="22"/>
        </w:rPr>
        <w:t>Title of the Table Shown in Table 1.</w:t>
      </w:r>
    </w:p>
    <w:p w14:paraId="52AB714A" w14:textId="7E4DFC8F" w:rsidR="00B31772" w:rsidRPr="00FE0653" w:rsidRDefault="00300E68" w:rsidP="00355A73">
      <w:pPr>
        <w:pStyle w:val="BodyText"/>
        <w:spacing w:before="120" w:after="60"/>
        <w:ind w:left="0"/>
        <w:jc w:val="center"/>
        <w:rPr>
          <w:sz w:val="22"/>
          <w:szCs w:val="22"/>
        </w:rPr>
      </w:pPr>
      <w:r w:rsidRPr="00355A73">
        <w:rPr>
          <w:sz w:val="22"/>
          <w:szCs w:val="22"/>
        </w:rPr>
        <w:t>Table 1</w:t>
      </w:r>
      <w:r w:rsidR="00355A73">
        <w:rPr>
          <w:sz w:val="22"/>
          <w:szCs w:val="22"/>
        </w:rPr>
        <w:t xml:space="preserve">: </w:t>
      </w:r>
      <w:r w:rsidR="00635060">
        <w:rPr>
          <w:sz w:val="22"/>
          <w:szCs w:val="22"/>
        </w:rPr>
        <w:t xml:space="preserve">Description </w:t>
      </w:r>
      <w:r w:rsidR="00542E57">
        <w:rPr>
          <w:sz w:val="22"/>
          <w:szCs w:val="22"/>
        </w:rPr>
        <w:t>of the Table</w:t>
      </w:r>
    </w:p>
    <w:tbl>
      <w:tblPr>
        <w:tblStyle w:val="TableGrid"/>
        <w:tblW w:w="0" w:type="auto"/>
        <w:jc w:val="center"/>
        <w:tblLook w:val="01E0" w:firstRow="1" w:lastRow="1" w:firstColumn="1" w:lastColumn="1" w:noHBand="0" w:noVBand="0"/>
      </w:tblPr>
      <w:tblGrid>
        <w:gridCol w:w="1264"/>
        <w:gridCol w:w="1186"/>
        <w:gridCol w:w="1294"/>
        <w:gridCol w:w="1235"/>
      </w:tblGrid>
      <w:tr w:rsidR="00B31772" w:rsidRPr="00E17D49" w14:paraId="3B5B27C5" w14:textId="77777777" w:rsidTr="00355A73">
        <w:trPr>
          <w:trHeight w:val="144"/>
          <w:jc w:val="center"/>
        </w:trPr>
        <w:tc>
          <w:tcPr>
            <w:tcW w:w="0" w:type="auto"/>
          </w:tcPr>
          <w:p w14:paraId="16261002" w14:textId="77777777" w:rsidR="00B31772" w:rsidRPr="00E17D49" w:rsidRDefault="00B31772" w:rsidP="00E17D49">
            <w:pPr>
              <w:pStyle w:val="TableParagraph"/>
              <w:spacing w:before="40" w:after="40"/>
              <w:jc w:val="left"/>
              <w:rPr>
                <w:b/>
                <w:bCs/>
              </w:rPr>
            </w:pPr>
          </w:p>
        </w:tc>
        <w:tc>
          <w:tcPr>
            <w:tcW w:w="0" w:type="auto"/>
          </w:tcPr>
          <w:p w14:paraId="4D40D453" w14:textId="77777777" w:rsidR="00B31772" w:rsidRPr="00E17D49" w:rsidRDefault="00300E68" w:rsidP="00E17D49">
            <w:pPr>
              <w:pStyle w:val="TableParagraph"/>
              <w:spacing w:before="40" w:after="40"/>
              <w:jc w:val="left"/>
              <w:rPr>
                <w:b/>
                <w:bCs/>
              </w:rPr>
            </w:pPr>
            <w:r w:rsidRPr="00E17D49">
              <w:rPr>
                <w:b/>
                <w:bCs/>
              </w:rPr>
              <w:t>Mass</w:t>
            </w:r>
            <w:r w:rsidRPr="00E17D49">
              <w:rPr>
                <w:b/>
                <w:bCs/>
                <w:spacing w:val="-3"/>
              </w:rPr>
              <w:t xml:space="preserve"> </w:t>
            </w:r>
            <w:r w:rsidRPr="00E17D49">
              <w:rPr>
                <w:b/>
                <w:bCs/>
                <w:spacing w:val="-4"/>
              </w:rPr>
              <w:t>(kg)</w:t>
            </w:r>
          </w:p>
        </w:tc>
        <w:tc>
          <w:tcPr>
            <w:tcW w:w="0" w:type="auto"/>
          </w:tcPr>
          <w:p w14:paraId="4B1E4573" w14:textId="77777777" w:rsidR="00B31772" w:rsidRPr="00E17D49" w:rsidRDefault="00300E68" w:rsidP="00E17D49">
            <w:pPr>
              <w:pStyle w:val="TableParagraph"/>
              <w:spacing w:before="40" w:after="40"/>
              <w:jc w:val="left"/>
              <w:rPr>
                <w:b/>
                <w:bCs/>
              </w:rPr>
            </w:pPr>
            <w:r w:rsidRPr="00E17D49">
              <w:rPr>
                <w:b/>
                <w:bCs/>
              </w:rPr>
              <w:t>Height</w:t>
            </w:r>
            <w:r w:rsidRPr="00E17D49">
              <w:rPr>
                <w:b/>
                <w:bCs/>
                <w:spacing w:val="-4"/>
              </w:rPr>
              <w:t xml:space="preserve"> </w:t>
            </w:r>
            <w:r w:rsidRPr="00E17D49">
              <w:rPr>
                <w:b/>
                <w:bCs/>
                <w:spacing w:val="-5"/>
              </w:rPr>
              <w:t>(m)</w:t>
            </w:r>
          </w:p>
        </w:tc>
        <w:tc>
          <w:tcPr>
            <w:tcW w:w="0" w:type="auto"/>
          </w:tcPr>
          <w:p w14:paraId="635B29B0" w14:textId="77777777" w:rsidR="00B31772" w:rsidRPr="00E17D49" w:rsidRDefault="00300E68" w:rsidP="00E17D49">
            <w:pPr>
              <w:pStyle w:val="TableParagraph"/>
              <w:spacing w:before="40" w:after="40"/>
              <w:jc w:val="left"/>
              <w:rPr>
                <w:b/>
                <w:bCs/>
              </w:rPr>
            </w:pPr>
            <w:r w:rsidRPr="00E17D49">
              <w:rPr>
                <w:b/>
                <w:bCs/>
              </w:rPr>
              <w:t>Age</w:t>
            </w:r>
            <w:r w:rsidRPr="00E17D49">
              <w:rPr>
                <w:b/>
                <w:bCs/>
                <w:spacing w:val="-2"/>
              </w:rPr>
              <w:t xml:space="preserve"> (year)</w:t>
            </w:r>
          </w:p>
        </w:tc>
      </w:tr>
      <w:tr w:rsidR="00B31772" w:rsidRPr="00E17D49" w14:paraId="1D82F416" w14:textId="77777777" w:rsidTr="00355A73">
        <w:trPr>
          <w:trHeight w:val="144"/>
          <w:jc w:val="center"/>
        </w:trPr>
        <w:tc>
          <w:tcPr>
            <w:tcW w:w="0" w:type="auto"/>
          </w:tcPr>
          <w:p w14:paraId="33117A72" w14:textId="77777777" w:rsidR="00B31772" w:rsidRPr="00E17D49" w:rsidRDefault="00300E68" w:rsidP="00E17D49">
            <w:pPr>
              <w:pStyle w:val="TableParagraph"/>
              <w:spacing w:before="40" w:after="40"/>
              <w:jc w:val="left"/>
            </w:pPr>
            <w:r w:rsidRPr="00E17D49">
              <w:t>Mean</w:t>
            </w:r>
            <w:r w:rsidRPr="00E17D49">
              <w:rPr>
                <w:spacing w:val="-2"/>
              </w:rPr>
              <w:t xml:space="preserve"> </w:t>
            </w:r>
            <w:r w:rsidRPr="00E17D49">
              <w:t>±</w:t>
            </w:r>
            <w:r w:rsidRPr="00E17D49">
              <w:rPr>
                <w:spacing w:val="2"/>
              </w:rPr>
              <w:t xml:space="preserve"> </w:t>
            </w:r>
            <w:r w:rsidRPr="00E17D49">
              <w:rPr>
                <w:spacing w:val="-5"/>
              </w:rPr>
              <w:t>SD</w:t>
            </w:r>
          </w:p>
        </w:tc>
        <w:tc>
          <w:tcPr>
            <w:tcW w:w="0" w:type="auto"/>
          </w:tcPr>
          <w:p w14:paraId="40934500" w14:textId="77777777" w:rsidR="00B31772" w:rsidRPr="00E17D49" w:rsidRDefault="00300E68" w:rsidP="00E17D49">
            <w:pPr>
              <w:pStyle w:val="TableParagraph"/>
              <w:spacing w:before="40" w:after="40"/>
              <w:jc w:val="left"/>
            </w:pPr>
            <w:r w:rsidRPr="00E17D49">
              <w:rPr>
                <w:spacing w:val="-2"/>
              </w:rPr>
              <w:t>53.37±3.02</w:t>
            </w:r>
          </w:p>
        </w:tc>
        <w:tc>
          <w:tcPr>
            <w:tcW w:w="0" w:type="auto"/>
          </w:tcPr>
          <w:p w14:paraId="6CCAE5D1" w14:textId="77777777" w:rsidR="00B31772" w:rsidRPr="00E17D49" w:rsidRDefault="00300E68" w:rsidP="00E17D49">
            <w:pPr>
              <w:pStyle w:val="TableParagraph"/>
              <w:spacing w:before="40" w:after="40"/>
              <w:jc w:val="left"/>
            </w:pPr>
            <w:r w:rsidRPr="00E17D49">
              <w:rPr>
                <w:spacing w:val="-2"/>
              </w:rPr>
              <w:t>1.568±0.065</w:t>
            </w:r>
          </w:p>
        </w:tc>
        <w:tc>
          <w:tcPr>
            <w:tcW w:w="0" w:type="auto"/>
          </w:tcPr>
          <w:p w14:paraId="3EDF7471" w14:textId="77777777" w:rsidR="00B31772" w:rsidRPr="00E17D49" w:rsidRDefault="00300E68" w:rsidP="00E17D49">
            <w:pPr>
              <w:pStyle w:val="TableParagraph"/>
              <w:spacing w:before="40" w:after="40"/>
              <w:jc w:val="left"/>
            </w:pPr>
            <w:r w:rsidRPr="00E17D49">
              <w:rPr>
                <w:spacing w:val="-2"/>
              </w:rPr>
              <w:t>72.45±3.7</w:t>
            </w:r>
          </w:p>
        </w:tc>
      </w:tr>
    </w:tbl>
    <w:p w14:paraId="68930F2D" w14:textId="77777777" w:rsidR="00355A73" w:rsidRDefault="00300E68" w:rsidP="00355A73">
      <w:pPr>
        <w:pStyle w:val="BodyText"/>
        <w:spacing w:before="120" w:after="60"/>
        <w:ind w:left="0"/>
        <w:jc w:val="center"/>
        <w:rPr>
          <w:sz w:val="22"/>
          <w:szCs w:val="22"/>
        </w:rPr>
      </w:pPr>
      <w:r w:rsidRPr="00FE0653">
        <w:rPr>
          <w:noProof/>
          <w:sz w:val="22"/>
          <w:szCs w:val="22"/>
        </w:rPr>
        <w:lastRenderedPageBreak/>
        <w:drawing>
          <wp:inline distT="0" distB="0" distL="0" distR="0" wp14:anchorId="61F29D58" wp14:editId="3A38F9D5">
            <wp:extent cx="3737113" cy="141533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3157" cy="1421408"/>
                    </a:xfrm>
                    <a:prstGeom prst="rect">
                      <a:avLst/>
                    </a:prstGeom>
                  </pic:spPr>
                </pic:pic>
              </a:graphicData>
            </a:graphic>
          </wp:inline>
        </w:drawing>
      </w:r>
    </w:p>
    <w:p w14:paraId="14D440F2" w14:textId="61C65271" w:rsidR="00B31772" w:rsidRPr="00355A73" w:rsidRDefault="00300E68" w:rsidP="00355A73">
      <w:pPr>
        <w:pStyle w:val="BodyText"/>
        <w:spacing w:before="120" w:after="60"/>
        <w:ind w:left="0"/>
        <w:jc w:val="center"/>
        <w:rPr>
          <w:sz w:val="22"/>
          <w:szCs w:val="22"/>
        </w:rPr>
      </w:pPr>
      <w:r w:rsidRPr="00355A73">
        <w:rPr>
          <w:sz w:val="22"/>
          <w:szCs w:val="22"/>
        </w:rPr>
        <w:t>Figure 1</w:t>
      </w:r>
      <w:r w:rsidR="00355A73">
        <w:rPr>
          <w:sz w:val="22"/>
          <w:szCs w:val="22"/>
        </w:rPr>
        <w:t xml:space="preserve">: </w:t>
      </w:r>
      <w:r w:rsidRPr="00355A73">
        <w:rPr>
          <w:sz w:val="22"/>
          <w:szCs w:val="22"/>
        </w:rPr>
        <w:t xml:space="preserve"> </w:t>
      </w:r>
      <w:r w:rsidR="00635060">
        <w:rPr>
          <w:sz w:val="22"/>
          <w:szCs w:val="22"/>
        </w:rPr>
        <w:t>Description</w:t>
      </w:r>
      <w:r w:rsidR="00542E57">
        <w:rPr>
          <w:sz w:val="22"/>
          <w:szCs w:val="22"/>
        </w:rPr>
        <w:t xml:space="preserve"> of the Figure</w:t>
      </w:r>
    </w:p>
    <w:p w14:paraId="457F95ED" w14:textId="4CDD7687" w:rsidR="00B31772" w:rsidRPr="00355A73" w:rsidRDefault="00FE0653" w:rsidP="00CF72AB">
      <w:pPr>
        <w:pStyle w:val="Heading2"/>
        <w:spacing w:before="240" w:after="120" w:line="240" w:lineRule="auto"/>
        <w:ind w:left="0"/>
        <w:rPr>
          <w:spacing w:val="-2"/>
          <w:sz w:val="24"/>
          <w:szCs w:val="24"/>
        </w:rPr>
      </w:pPr>
      <w:r w:rsidRPr="00355A73">
        <w:rPr>
          <w:spacing w:val="-2"/>
          <w:sz w:val="24"/>
          <w:szCs w:val="24"/>
        </w:rPr>
        <w:t>REFERENCES</w:t>
      </w:r>
    </w:p>
    <w:p w14:paraId="0FC8023C" w14:textId="54424C4F" w:rsidR="00B31772" w:rsidRDefault="00505869" w:rsidP="00CF72AB">
      <w:pPr>
        <w:pStyle w:val="BodyText"/>
        <w:numPr>
          <w:ilvl w:val="0"/>
          <w:numId w:val="5"/>
        </w:numPr>
        <w:ind w:left="720" w:hanging="720"/>
        <w:rPr>
          <w:sz w:val="22"/>
          <w:szCs w:val="22"/>
        </w:rPr>
      </w:pPr>
      <w:r w:rsidRPr="00505869">
        <w:rPr>
          <w:sz w:val="22"/>
          <w:szCs w:val="22"/>
        </w:rPr>
        <w:t>Urrea, N. T.</w:t>
      </w:r>
      <w:r w:rsidR="00614AAF">
        <w:rPr>
          <w:sz w:val="22"/>
          <w:szCs w:val="22"/>
        </w:rPr>
        <w:t xml:space="preserve"> </w:t>
      </w:r>
      <w:r w:rsidRPr="00505869">
        <w:rPr>
          <w:sz w:val="22"/>
          <w:szCs w:val="22"/>
        </w:rPr>
        <w:t>(2024). Operational Risk Management in E-Commerce: A Platform Perspective. </w:t>
      </w:r>
      <w:r w:rsidRPr="00505869">
        <w:rPr>
          <w:i/>
          <w:iCs/>
          <w:sz w:val="22"/>
          <w:szCs w:val="22"/>
        </w:rPr>
        <w:t>IEEE Transactions on Engineering Management</w:t>
      </w:r>
      <w:r>
        <w:rPr>
          <w:sz w:val="22"/>
          <w:szCs w:val="22"/>
        </w:rPr>
        <w:t xml:space="preserve">, 71, </w:t>
      </w:r>
      <w:r w:rsidRPr="00505869">
        <w:rPr>
          <w:sz w:val="22"/>
          <w:szCs w:val="22"/>
        </w:rPr>
        <w:t>3807</w:t>
      </w:r>
      <w:r>
        <w:rPr>
          <w:sz w:val="22"/>
          <w:szCs w:val="22"/>
        </w:rPr>
        <w:t>–</w:t>
      </w:r>
      <w:r w:rsidRPr="00505869">
        <w:rPr>
          <w:sz w:val="22"/>
          <w:szCs w:val="22"/>
        </w:rPr>
        <w:t>3819</w:t>
      </w:r>
      <w:r>
        <w:rPr>
          <w:sz w:val="22"/>
          <w:szCs w:val="22"/>
        </w:rPr>
        <w:t>.</w:t>
      </w:r>
    </w:p>
    <w:p w14:paraId="37B12286" w14:textId="2C77ECE6" w:rsidR="00CF72AB" w:rsidRPr="00CF72AB" w:rsidRDefault="00CF72AB" w:rsidP="00CF72AB">
      <w:pPr>
        <w:pStyle w:val="BodyText"/>
        <w:numPr>
          <w:ilvl w:val="0"/>
          <w:numId w:val="5"/>
        </w:numPr>
        <w:ind w:left="720" w:hanging="720"/>
        <w:rPr>
          <w:sz w:val="22"/>
          <w:szCs w:val="22"/>
        </w:rPr>
        <w:sectPr w:rsidR="00CF72AB" w:rsidRPr="00CF72AB" w:rsidSect="00A01E95">
          <w:headerReference w:type="default" r:id="rId8"/>
          <w:footerReference w:type="default" r:id="rId9"/>
          <w:headerReference w:type="first" r:id="rId10"/>
          <w:type w:val="continuous"/>
          <w:pgSz w:w="12240" w:h="15840" w:code="1"/>
          <w:pgMar w:top="1440" w:right="1440" w:bottom="1440" w:left="1440" w:header="720" w:footer="720" w:gutter="0"/>
          <w:cols w:space="720"/>
          <w:docGrid w:linePitch="299"/>
        </w:sectPr>
      </w:pPr>
    </w:p>
    <w:p w14:paraId="0704A38D" w14:textId="4C3CB1EA" w:rsidR="00B31772" w:rsidRDefault="00505869" w:rsidP="00CF72AB">
      <w:pPr>
        <w:pStyle w:val="BodyText"/>
        <w:numPr>
          <w:ilvl w:val="0"/>
          <w:numId w:val="5"/>
        </w:numPr>
        <w:ind w:left="720" w:hanging="720"/>
        <w:rPr>
          <w:sz w:val="22"/>
          <w:szCs w:val="22"/>
        </w:rPr>
      </w:pPr>
      <w:r w:rsidRPr="00505869">
        <w:rPr>
          <w:sz w:val="22"/>
          <w:szCs w:val="22"/>
        </w:rPr>
        <w:t xml:space="preserve">Mantas, E., Papadopoulos, D., Fernández, C., Ortiz, N., </w:t>
      </w:r>
      <w:proofErr w:type="spellStart"/>
      <w:r w:rsidRPr="00505869">
        <w:rPr>
          <w:sz w:val="22"/>
          <w:szCs w:val="22"/>
        </w:rPr>
        <w:t>Compastié</w:t>
      </w:r>
      <w:proofErr w:type="spellEnd"/>
      <w:r w:rsidRPr="00505869">
        <w:rPr>
          <w:sz w:val="22"/>
          <w:szCs w:val="22"/>
        </w:rPr>
        <w:t xml:space="preserve">, M., Martínez, A. L., &amp; Athanasiou, G. (2021). Practical autonomous cyberhealth for resilient micro, small and medium-sized enterprises. </w:t>
      </w:r>
      <w:r w:rsidRPr="00505869">
        <w:rPr>
          <w:i/>
          <w:iCs/>
          <w:sz w:val="22"/>
          <w:szCs w:val="22"/>
        </w:rPr>
        <w:t>In</w:t>
      </w:r>
      <w:r w:rsidRPr="00505869">
        <w:rPr>
          <w:sz w:val="22"/>
          <w:szCs w:val="22"/>
        </w:rPr>
        <w:t> </w:t>
      </w:r>
      <w:r w:rsidRPr="00505869">
        <w:rPr>
          <w:i/>
          <w:iCs/>
          <w:sz w:val="22"/>
          <w:szCs w:val="22"/>
        </w:rPr>
        <w:t>IEEE International Mediterranean Conference on Communications and Networking (</w:t>
      </w:r>
      <w:proofErr w:type="spellStart"/>
      <w:r w:rsidRPr="00505869">
        <w:rPr>
          <w:i/>
          <w:iCs/>
          <w:sz w:val="22"/>
          <w:szCs w:val="22"/>
        </w:rPr>
        <w:t>MeditCom</w:t>
      </w:r>
      <w:proofErr w:type="spellEnd"/>
      <w:r w:rsidRPr="00505869">
        <w:rPr>
          <w:i/>
          <w:iCs/>
          <w:sz w:val="22"/>
          <w:szCs w:val="22"/>
        </w:rPr>
        <w:t>)</w:t>
      </w:r>
      <w:r>
        <w:rPr>
          <w:sz w:val="22"/>
          <w:szCs w:val="22"/>
        </w:rPr>
        <w:t xml:space="preserve">, </w:t>
      </w:r>
      <w:r w:rsidRPr="00505869">
        <w:rPr>
          <w:sz w:val="22"/>
          <w:szCs w:val="22"/>
        </w:rPr>
        <w:t>500-505</w:t>
      </w:r>
      <w:r>
        <w:rPr>
          <w:sz w:val="22"/>
          <w:szCs w:val="22"/>
        </w:rPr>
        <w:t>.</w:t>
      </w:r>
    </w:p>
    <w:p w14:paraId="3C608969" w14:textId="5150280B" w:rsidR="00C430DE" w:rsidRPr="00CF72AB" w:rsidRDefault="00C430DE" w:rsidP="00CF72AB">
      <w:pPr>
        <w:pStyle w:val="BodyText"/>
        <w:numPr>
          <w:ilvl w:val="0"/>
          <w:numId w:val="5"/>
        </w:numPr>
        <w:ind w:left="720" w:hanging="720"/>
        <w:rPr>
          <w:sz w:val="22"/>
          <w:szCs w:val="22"/>
        </w:rPr>
      </w:pPr>
      <w:r w:rsidRPr="00C430DE">
        <w:rPr>
          <w:sz w:val="22"/>
          <w:szCs w:val="22"/>
        </w:rPr>
        <w:t xml:space="preserve">Adams, J., </w:t>
      </w:r>
      <w:r w:rsidR="00614AAF">
        <w:rPr>
          <w:sz w:val="22"/>
          <w:szCs w:val="22"/>
        </w:rPr>
        <w:t xml:space="preserve">&amp; </w:t>
      </w:r>
      <w:r w:rsidRPr="00C430DE">
        <w:rPr>
          <w:sz w:val="22"/>
          <w:szCs w:val="22"/>
        </w:rPr>
        <w:t>Hayes, J.</w:t>
      </w:r>
      <w:r w:rsidR="00614AAF">
        <w:rPr>
          <w:sz w:val="22"/>
          <w:szCs w:val="22"/>
        </w:rPr>
        <w:t xml:space="preserve"> </w:t>
      </w:r>
      <w:r w:rsidRPr="00C430DE">
        <w:rPr>
          <w:sz w:val="22"/>
          <w:szCs w:val="22"/>
        </w:rPr>
        <w:t>(1976)</w:t>
      </w:r>
      <w:r>
        <w:rPr>
          <w:sz w:val="22"/>
          <w:szCs w:val="22"/>
        </w:rPr>
        <w:t xml:space="preserve">. </w:t>
      </w:r>
      <w:r w:rsidRPr="00C430DE">
        <w:rPr>
          <w:i/>
          <w:iCs/>
          <w:sz w:val="22"/>
          <w:szCs w:val="22"/>
        </w:rPr>
        <w:t>Transition: Understanding and Managing Personal Change</w:t>
      </w:r>
      <w:r w:rsidRPr="00C430DE">
        <w:rPr>
          <w:sz w:val="22"/>
          <w:szCs w:val="22"/>
        </w:rPr>
        <w:t>, London, Martin Robertson.</w:t>
      </w:r>
    </w:p>
    <w:sectPr w:rsidR="00C430DE" w:rsidRPr="00CF72AB" w:rsidSect="00A01E9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DF3B4" w14:textId="77777777" w:rsidR="006B574C" w:rsidRDefault="006B574C">
      <w:r>
        <w:separator/>
      </w:r>
    </w:p>
  </w:endnote>
  <w:endnote w:type="continuationSeparator" w:id="0">
    <w:p w14:paraId="4ACB3F5F" w14:textId="77777777" w:rsidR="006B574C" w:rsidRDefault="006B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39646254"/>
      <w:docPartObj>
        <w:docPartGallery w:val="Page Numbers (Bottom of Page)"/>
        <w:docPartUnique/>
      </w:docPartObj>
    </w:sdtPr>
    <w:sdtEndPr>
      <w:rPr>
        <w:noProof/>
      </w:rPr>
    </w:sdtEndPr>
    <w:sdtContent>
      <w:p w14:paraId="192C240B" w14:textId="477404DF" w:rsidR="002935EF" w:rsidRPr="002935EF" w:rsidRDefault="002935EF">
        <w:pPr>
          <w:pStyle w:val="Footer"/>
          <w:jc w:val="right"/>
          <w:rPr>
            <w:sz w:val="20"/>
            <w:szCs w:val="20"/>
          </w:rPr>
        </w:pPr>
        <w:r w:rsidRPr="002935EF">
          <w:rPr>
            <w:sz w:val="20"/>
            <w:szCs w:val="20"/>
          </w:rPr>
          <w:fldChar w:fldCharType="begin"/>
        </w:r>
        <w:r w:rsidRPr="002935EF">
          <w:rPr>
            <w:sz w:val="20"/>
            <w:szCs w:val="20"/>
          </w:rPr>
          <w:instrText xml:space="preserve"> PAGE   \* MERGEFORMAT </w:instrText>
        </w:r>
        <w:r w:rsidRPr="002935EF">
          <w:rPr>
            <w:sz w:val="20"/>
            <w:szCs w:val="20"/>
          </w:rPr>
          <w:fldChar w:fldCharType="separate"/>
        </w:r>
        <w:r w:rsidRPr="002935EF">
          <w:rPr>
            <w:noProof/>
            <w:sz w:val="20"/>
            <w:szCs w:val="20"/>
          </w:rPr>
          <w:t>2</w:t>
        </w:r>
        <w:r w:rsidRPr="002935E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DE24C" w14:textId="77777777" w:rsidR="006B574C" w:rsidRDefault="006B574C">
      <w:r>
        <w:separator/>
      </w:r>
    </w:p>
  </w:footnote>
  <w:footnote w:type="continuationSeparator" w:id="0">
    <w:p w14:paraId="5ED6748C" w14:textId="77777777" w:rsidR="006B574C" w:rsidRDefault="006B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945E2" w14:textId="293EA6CD" w:rsidR="00007E48" w:rsidRPr="002935EF" w:rsidRDefault="00505869" w:rsidP="002935EF">
    <w:pPr>
      <w:pStyle w:val="Header"/>
      <w:rPr>
        <w:i/>
        <w:iCs/>
        <w:noProof/>
        <w:sz w:val="20"/>
        <w:szCs w:val="20"/>
      </w:rPr>
    </w:pPr>
    <w:r w:rsidRPr="00505869">
      <w:rPr>
        <w:i/>
        <w:iCs/>
        <w:noProof/>
        <w:sz w:val="20"/>
        <w:szCs w:val="20"/>
      </w:rPr>
      <w:t>Global Perspectives in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6A023" w14:textId="27AD481C" w:rsidR="00C95B9A" w:rsidRPr="00C95B9A" w:rsidRDefault="00C95B9A" w:rsidP="00C95B9A">
    <w:pPr>
      <w:pStyle w:val="Header"/>
    </w:pPr>
    <w:r w:rsidRPr="00666BFB">
      <w:rPr>
        <w:rFonts w:ascii="Cambria" w:eastAsia="Times New Roman" w:hAnsi="Cambria" w:cstheme="minorHAnsi"/>
        <w:sz w:val="24"/>
        <w:szCs w:val="24"/>
        <w:lang w:eastAsia="en-IN"/>
      </w:rPr>
      <w:t>Global Perspectives in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40365"/>
    <w:multiLevelType w:val="hybridMultilevel"/>
    <w:tmpl w:val="C5528D20"/>
    <w:lvl w:ilvl="0" w:tplc="6A268DE8">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B4590"/>
    <w:multiLevelType w:val="hybridMultilevel"/>
    <w:tmpl w:val="CA468C7A"/>
    <w:lvl w:ilvl="0" w:tplc="BCB27EA4">
      <w:start w:val="1"/>
      <w:numFmt w:val="decimal"/>
      <w:lvlText w:val="[%1]"/>
      <w:lvlJc w:val="left"/>
      <w:pPr>
        <w:ind w:left="1008" w:hanging="360"/>
      </w:pPr>
      <w:rPr>
        <w:rFonts w:hint="default"/>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 w15:restartNumberingAfterBreak="0">
    <w:nsid w:val="263B4D85"/>
    <w:multiLevelType w:val="hybridMultilevel"/>
    <w:tmpl w:val="6164BCB0"/>
    <w:lvl w:ilvl="0" w:tplc="20FA82F4">
      <w:start w:val="1"/>
      <w:numFmt w:val="decimal"/>
      <w:lvlText w:val="%1."/>
      <w:lvlJc w:val="left"/>
      <w:pPr>
        <w:ind w:left="231" w:hanging="228"/>
      </w:pPr>
      <w:rPr>
        <w:rFonts w:ascii="Palatino Linotype" w:eastAsia="Palatino Linotype" w:hAnsi="Palatino Linotype" w:cs="Palatino Linotype" w:hint="default"/>
        <w:b w:val="0"/>
        <w:bCs w:val="0"/>
        <w:i w:val="0"/>
        <w:iCs w:val="0"/>
        <w:spacing w:val="0"/>
        <w:w w:val="100"/>
        <w:sz w:val="18"/>
        <w:szCs w:val="18"/>
        <w:lang w:val="en-US" w:eastAsia="en-US" w:bidi="ar-SA"/>
      </w:rPr>
    </w:lvl>
    <w:lvl w:ilvl="1" w:tplc="3C82C31E">
      <w:numFmt w:val="bullet"/>
      <w:lvlText w:val="•"/>
      <w:lvlJc w:val="left"/>
      <w:pPr>
        <w:ind w:left="1145" w:hanging="228"/>
      </w:pPr>
      <w:rPr>
        <w:rFonts w:hint="default"/>
        <w:lang w:val="en-US" w:eastAsia="en-US" w:bidi="ar-SA"/>
      </w:rPr>
    </w:lvl>
    <w:lvl w:ilvl="2" w:tplc="D33E79A2">
      <w:numFmt w:val="bullet"/>
      <w:lvlText w:val="•"/>
      <w:lvlJc w:val="left"/>
      <w:pPr>
        <w:ind w:left="2051" w:hanging="228"/>
      </w:pPr>
      <w:rPr>
        <w:rFonts w:hint="default"/>
        <w:lang w:val="en-US" w:eastAsia="en-US" w:bidi="ar-SA"/>
      </w:rPr>
    </w:lvl>
    <w:lvl w:ilvl="3" w:tplc="B846F5A0">
      <w:numFmt w:val="bullet"/>
      <w:lvlText w:val="•"/>
      <w:lvlJc w:val="left"/>
      <w:pPr>
        <w:ind w:left="2957" w:hanging="228"/>
      </w:pPr>
      <w:rPr>
        <w:rFonts w:hint="default"/>
        <w:lang w:val="en-US" w:eastAsia="en-US" w:bidi="ar-SA"/>
      </w:rPr>
    </w:lvl>
    <w:lvl w:ilvl="4" w:tplc="BAB8C4B0">
      <w:numFmt w:val="bullet"/>
      <w:lvlText w:val="•"/>
      <w:lvlJc w:val="left"/>
      <w:pPr>
        <w:ind w:left="3863" w:hanging="228"/>
      </w:pPr>
      <w:rPr>
        <w:rFonts w:hint="default"/>
        <w:lang w:val="en-US" w:eastAsia="en-US" w:bidi="ar-SA"/>
      </w:rPr>
    </w:lvl>
    <w:lvl w:ilvl="5" w:tplc="38BA82DC">
      <w:numFmt w:val="bullet"/>
      <w:lvlText w:val="•"/>
      <w:lvlJc w:val="left"/>
      <w:pPr>
        <w:ind w:left="4769" w:hanging="228"/>
      </w:pPr>
      <w:rPr>
        <w:rFonts w:hint="default"/>
        <w:lang w:val="en-US" w:eastAsia="en-US" w:bidi="ar-SA"/>
      </w:rPr>
    </w:lvl>
    <w:lvl w:ilvl="6" w:tplc="D0503F40">
      <w:numFmt w:val="bullet"/>
      <w:lvlText w:val="•"/>
      <w:lvlJc w:val="left"/>
      <w:pPr>
        <w:ind w:left="5675" w:hanging="228"/>
      </w:pPr>
      <w:rPr>
        <w:rFonts w:hint="default"/>
        <w:lang w:val="en-US" w:eastAsia="en-US" w:bidi="ar-SA"/>
      </w:rPr>
    </w:lvl>
    <w:lvl w:ilvl="7" w:tplc="CDE2D738">
      <w:numFmt w:val="bullet"/>
      <w:lvlText w:val="•"/>
      <w:lvlJc w:val="left"/>
      <w:pPr>
        <w:ind w:left="6581" w:hanging="228"/>
      </w:pPr>
      <w:rPr>
        <w:rFonts w:hint="default"/>
        <w:lang w:val="en-US" w:eastAsia="en-US" w:bidi="ar-SA"/>
      </w:rPr>
    </w:lvl>
    <w:lvl w:ilvl="8" w:tplc="19FA104E">
      <w:numFmt w:val="bullet"/>
      <w:lvlText w:val="•"/>
      <w:lvlJc w:val="left"/>
      <w:pPr>
        <w:ind w:left="7487" w:hanging="228"/>
      </w:pPr>
      <w:rPr>
        <w:rFonts w:hint="default"/>
        <w:lang w:val="en-US" w:eastAsia="en-US" w:bidi="ar-SA"/>
      </w:rPr>
    </w:lvl>
  </w:abstractNum>
  <w:abstractNum w:abstractNumId="3" w15:restartNumberingAfterBreak="0">
    <w:nsid w:val="27C7322D"/>
    <w:multiLevelType w:val="hybridMultilevel"/>
    <w:tmpl w:val="401830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B10A8D"/>
    <w:multiLevelType w:val="hybridMultilevel"/>
    <w:tmpl w:val="E3BAE2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2703370">
    <w:abstractNumId w:val="2"/>
  </w:num>
  <w:num w:numId="2" w16cid:durableId="171845860">
    <w:abstractNumId w:val="4"/>
  </w:num>
  <w:num w:numId="3" w16cid:durableId="791020620">
    <w:abstractNumId w:val="0"/>
  </w:num>
  <w:num w:numId="4" w16cid:durableId="447967472">
    <w:abstractNumId w:val="3"/>
  </w:num>
  <w:num w:numId="5" w16cid:durableId="61545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1772"/>
    <w:rsid w:val="00007E48"/>
    <w:rsid w:val="00064989"/>
    <w:rsid w:val="000A700B"/>
    <w:rsid w:val="000B4E0B"/>
    <w:rsid w:val="000D3A76"/>
    <w:rsid w:val="000E3685"/>
    <w:rsid w:val="000F0F21"/>
    <w:rsid w:val="00230056"/>
    <w:rsid w:val="00246739"/>
    <w:rsid w:val="002935EF"/>
    <w:rsid w:val="002B04E6"/>
    <w:rsid w:val="002B76B2"/>
    <w:rsid w:val="00300E68"/>
    <w:rsid w:val="00355A73"/>
    <w:rsid w:val="00372D64"/>
    <w:rsid w:val="003854D3"/>
    <w:rsid w:val="003F5682"/>
    <w:rsid w:val="00505869"/>
    <w:rsid w:val="00542E57"/>
    <w:rsid w:val="00565B36"/>
    <w:rsid w:val="00586741"/>
    <w:rsid w:val="00614AAF"/>
    <w:rsid w:val="00635060"/>
    <w:rsid w:val="006667FB"/>
    <w:rsid w:val="006A2C9E"/>
    <w:rsid w:val="006B574C"/>
    <w:rsid w:val="006F3008"/>
    <w:rsid w:val="00785E3F"/>
    <w:rsid w:val="00794220"/>
    <w:rsid w:val="00877E23"/>
    <w:rsid w:val="00967E0C"/>
    <w:rsid w:val="00A01E95"/>
    <w:rsid w:val="00A11089"/>
    <w:rsid w:val="00A252B4"/>
    <w:rsid w:val="00A73EB9"/>
    <w:rsid w:val="00A955E1"/>
    <w:rsid w:val="00AF5517"/>
    <w:rsid w:val="00B0517F"/>
    <w:rsid w:val="00B22C5D"/>
    <w:rsid w:val="00B31772"/>
    <w:rsid w:val="00B34112"/>
    <w:rsid w:val="00BA71D5"/>
    <w:rsid w:val="00BE79A4"/>
    <w:rsid w:val="00C430DE"/>
    <w:rsid w:val="00C95B9A"/>
    <w:rsid w:val="00CF72AB"/>
    <w:rsid w:val="00D35A58"/>
    <w:rsid w:val="00DD4934"/>
    <w:rsid w:val="00E17D49"/>
    <w:rsid w:val="00E84F20"/>
    <w:rsid w:val="00E85F5D"/>
    <w:rsid w:val="00E97F4E"/>
    <w:rsid w:val="00EF6FC9"/>
    <w:rsid w:val="00F00DF5"/>
    <w:rsid w:val="00F56305"/>
    <w:rsid w:val="00FE0653"/>
    <w:rsid w:val="00FE13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DD0E8"/>
  <w15:docId w15:val="{E14D8BC4-5B0F-4743-AC65-79885AFF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05" w:right="277"/>
      <w:jc w:val="center"/>
      <w:outlineLvl w:val="0"/>
    </w:pPr>
    <w:rPr>
      <w:b/>
      <w:bCs/>
    </w:rPr>
  </w:style>
  <w:style w:type="paragraph" w:styleId="Heading2">
    <w:name w:val="heading 2"/>
    <w:basedOn w:val="Normal"/>
    <w:uiPriority w:val="9"/>
    <w:unhideWhenUsed/>
    <w:qFormat/>
    <w:pPr>
      <w:spacing w:line="269" w:lineRule="exact"/>
      <w:ind w:left="231"/>
      <w:outlineLvl w:val="1"/>
    </w:pPr>
    <w:rPr>
      <w:b/>
      <w:bCs/>
      <w:sz w:val="20"/>
      <w:szCs w:val="20"/>
    </w:rPr>
  </w:style>
  <w:style w:type="paragraph" w:styleId="Heading3">
    <w:name w:val="heading 3"/>
    <w:basedOn w:val="Normal"/>
    <w:uiPriority w:val="9"/>
    <w:unhideWhenUsed/>
    <w:qFormat/>
    <w:pPr>
      <w:spacing w:line="269" w:lineRule="exact"/>
      <w:ind w:left="231"/>
      <w:jc w:val="both"/>
      <w:outlineLvl w:val="2"/>
    </w:pPr>
    <w:rPr>
      <w:rFonts w:ascii="Times New Roman" w:eastAsia="Times New Roman" w:hAnsi="Times New Roman" w:cs="Times New Roman"/>
      <w:b/>
      <w:bCs/>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1"/>
      <w:jc w:val="both"/>
    </w:pPr>
    <w:rPr>
      <w:sz w:val="20"/>
      <w:szCs w:val="20"/>
    </w:rPr>
  </w:style>
  <w:style w:type="paragraph" w:styleId="Title">
    <w:name w:val="Title"/>
    <w:basedOn w:val="Normal"/>
    <w:uiPriority w:val="10"/>
    <w:qFormat/>
    <w:pPr>
      <w:ind w:left="173" w:right="172"/>
      <w:jc w:val="center"/>
    </w:pPr>
    <w:rPr>
      <w:b/>
      <w:bCs/>
      <w:sz w:val="36"/>
      <w:szCs w:val="36"/>
    </w:rPr>
  </w:style>
  <w:style w:type="paragraph" w:styleId="ListParagraph">
    <w:name w:val="List Paragraph"/>
    <w:basedOn w:val="Normal"/>
    <w:uiPriority w:val="1"/>
    <w:qFormat/>
    <w:pPr>
      <w:ind w:left="231"/>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B04E6"/>
    <w:pPr>
      <w:tabs>
        <w:tab w:val="center" w:pos="4513"/>
        <w:tab w:val="right" w:pos="9026"/>
      </w:tabs>
    </w:pPr>
  </w:style>
  <w:style w:type="character" w:customStyle="1" w:styleId="HeaderChar">
    <w:name w:val="Header Char"/>
    <w:basedOn w:val="DefaultParagraphFont"/>
    <w:link w:val="Header"/>
    <w:uiPriority w:val="99"/>
    <w:rsid w:val="002B04E6"/>
    <w:rPr>
      <w:rFonts w:ascii="Palatino Linotype" w:eastAsia="Palatino Linotype" w:hAnsi="Palatino Linotype" w:cs="Palatino Linotype"/>
    </w:rPr>
  </w:style>
  <w:style w:type="paragraph" w:styleId="Footer">
    <w:name w:val="footer"/>
    <w:basedOn w:val="Normal"/>
    <w:link w:val="FooterChar"/>
    <w:uiPriority w:val="99"/>
    <w:unhideWhenUsed/>
    <w:rsid w:val="002B04E6"/>
    <w:pPr>
      <w:tabs>
        <w:tab w:val="center" w:pos="4513"/>
        <w:tab w:val="right" w:pos="9026"/>
      </w:tabs>
    </w:pPr>
  </w:style>
  <w:style w:type="character" w:customStyle="1" w:styleId="FooterChar">
    <w:name w:val="Footer Char"/>
    <w:basedOn w:val="DefaultParagraphFont"/>
    <w:link w:val="Footer"/>
    <w:uiPriority w:val="99"/>
    <w:rsid w:val="002B04E6"/>
    <w:rPr>
      <w:rFonts w:ascii="Palatino Linotype" w:eastAsia="Palatino Linotype" w:hAnsi="Palatino Linotype" w:cs="Palatino Linotype"/>
    </w:rPr>
  </w:style>
  <w:style w:type="character" w:styleId="Hyperlink">
    <w:name w:val="Hyperlink"/>
    <w:basedOn w:val="DefaultParagraphFont"/>
    <w:uiPriority w:val="99"/>
    <w:unhideWhenUsed/>
    <w:rsid w:val="006F3008"/>
    <w:rPr>
      <w:color w:val="0000FF" w:themeColor="hyperlink"/>
      <w:u w:val="single"/>
    </w:rPr>
  </w:style>
  <w:style w:type="character" w:styleId="UnresolvedMention">
    <w:name w:val="Unresolved Mention"/>
    <w:basedOn w:val="DefaultParagraphFont"/>
    <w:uiPriority w:val="99"/>
    <w:semiHidden/>
    <w:unhideWhenUsed/>
    <w:rsid w:val="006F3008"/>
    <w:rPr>
      <w:color w:val="605E5C"/>
      <w:shd w:val="clear" w:color="auto" w:fill="E1DFDD"/>
    </w:rPr>
  </w:style>
  <w:style w:type="table" w:styleId="TableGrid">
    <w:name w:val="Table Grid"/>
    <w:basedOn w:val="TableNormal"/>
    <w:uiPriority w:val="39"/>
    <w:rsid w:val="0035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GPM</dc:creator>
  <cp:lastModifiedBy>ADMIN</cp:lastModifiedBy>
  <cp:revision>46</cp:revision>
  <dcterms:created xsi:type="dcterms:W3CDTF">2024-07-30T07:24:00Z</dcterms:created>
  <dcterms:modified xsi:type="dcterms:W3CDTF">2024-09-25T05:56:00Z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for Microsoft 365</vt:lpwstr>
  </property>
  <property fmtid="{D5CDD505-2E9C-101B-9397-08002B2CF9AE}" pid="4" name="LastSaved">
    <vt:filetime>2024-07-30T00:00:00Z</vt:filetime>
  </property>
  <property fmtid="{D5CDD505-2E9C-101B-9397-08002B2CF9AE}" pid="5" name="Producer">
    <vt:lpwstr>Microsoft® Word for Microsoft 365</vt:lpwstr>
  </property>
</Properties>
</file>